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31" w:rsidRPr="00780DF3" w:rsidRDefault="00482F31" w:rsidP="00482F31">
      <w:pPr>
        <w:spacing w:after="0" w:line="240" w:lineRule="auto"/>
        <w:rPr>
          <w:rFonts w:asciiTheme="majorHAnsi" w:hAnsiTheme="majorHAnsi"/>
          <w:bCs/>
          <w:color w:val="FF0000"/>
          <w:szCs w:val="24"/>
        </w:rPr>
      </w:pPr>
      <w:r w:rsidRPr="00780DF3">
        <w:rPr>
          <w:rFonts w:asciiTheme="majorHAnsi" w:hAnsiTheme="majorHAnsi"/>
          <w:bCs/>
          <w:color w:val="FF0000"/>
          <w:szCs w:val="24"/>
        </w:rPr>
        <w:t>Online Interactive Learning Format</w:t>
      </w:r>
    </w:p>
    <w:p w:rsidR="00482F31" w:rsidRPr="00780DF3" w:rsidRDefault="004E7C28" w:rsidP="00780DF3">
      <w:pPr>
        <w:pStyle w:val="subhead2"/>
        <w:shd w:val="clear" w:color="auto" w:fill="FFFFFF"/>
        <w:spacing w:before="0" w:beforeAutospacing="0" w:after="0" w:afterAutospacing="0" w:line="240" w:lineRule="auto"/>
        <w:rPr>
          <w:rFonts w:asciiTheme="majorHAnsi" w:hAnsiTheme="majorHAnsi" w:cstheme="minorHAnsi"/>
          <w:b w:val="0"/>
          <w:bCs w:val="0"/>
          <w:color w:val="FF0000"/>
          <w:sz w:val="24"/>
          <w:szCs w:val="24"/>
        </w:rPr>
      </w:pPr>
      <w:r w:rsidRPr="00780DF3">
        <w:rPr>
          <w:rFonts w:asciiTheme="majorHAnsi" w:hAnsiTheme="majorHAnsi" w:cstheme="minorHAnsi"/>
          <w:color w:val="FF0000"/>
          <w:sz w:val="24"/>
          <w:szCs w:val="24"/>
        </w:rPr>
        <w:t>EDUX 6</w:t>
      </w:r>
      <w:r w:rsidR="00780DF3" w:rsidRPr="00780DF3">
        <w:rPr>
          <w:rFonts w:asciiTheme="majorHAnsi" w:hAnsiTheme="majorHAnsi" w:cstheme="minorHAnsi"/>
          <w:color w:val="FF0000"/>
          <w:sz w:val="24"/>
          <w:szCs w:val="24"/>
        </w:rPr>
        <w:t>255</w:t>
      </w:r>
      <w:r w:rsidR="00482F31" w:rsidRPr="00780DF3">
        <w:rPr>
          <w:rFonts w:asciiTheme="majorHAnsi" w:hAnsiTheme="majorHAnsi" w:cstheme="minorHAnsi"/>
          <w:color w:val="FF0000"/>
          <w:sz w:val="24"/>
          <w:szCs w:val="24"/>
        </w:rPr>
        <w:t xml:space="preserve"> (F, G, H) </w:t>
      </w:r>
      <w:r w:rsidR="00780DF3" w:rsidRPr="00780DF3">
        <w:rPr>
          <w:rFonts w:asciiTheme="majorHAnsi" w:hAnsiTheme="majorHAnsi" w:cstheme="minorHAnsi"/>
          <w:b w:val="0"/>
          <w:bCs w:val="0"/>
          <w:color w:val="FF0000"/>
          <w:sz w:val="24"/>
          <w:szCs w:val="24"/>
        </w:rPr>
        <w:t>The Brain: Developing Lifelong Learning Habits</w:t>
      </w:r>
    </w:p>
    <w:p w:rsidR="00780DF3" w:rsidRPr="00780DF3" w:rsidRDefault="00780DF3" w:rsidP="00780DF3">
      <w:pPr>
        <w:pStyle w:val="subhead2"/>
        <w:shd w:val="clear" w:color="auto" w:fill="FFFFFF"/>
        <w:spacing w:before="0" w:beforeAutospacing="0" w:after="0" w:afterAutospacing="0" w:line="240" w:lineRule="auto"/>
        <w:rPr>
          <w:rFonts w:asciiTheme="majorHAnsi" w:hAnsiTheme="majorHAnsi" w:cstheme="minorHAnsi"/>
          <w:b w:val="0"/>
          <w:bCs w:val="0"/>
          <w:color w:val="FF0000"/>
          <w:sz w:val="24"/>
          <w:szCs w:val="24"/>
        </w:rPr>
      </w:pPr>
    </w:p>
    <w:p w:rsidR="00780DF3" w:rsidRPr="00780DF3" w:rsidRDefault="00780DF3" w:rsidP="00780DF3">
      <w:pPr>
        <w:pStyle w:val="subhead2"/>
        <w:shd w:val="clear" w:color="auto" w:fill="FFFFFF"/>
        <w:spacing w:before="0" w:beforeAutospacing="0" w:after="0" w:afterAutospacing="0" w:line="240" w:lineRule="auto"/>
        <w:rPr>
          <w:rFonts w:asciiTheme="majorHAnsi" w:hAnsiTheme="majorHAnsi"/>
          <w:bCs w:val="0"/>
          <w:sz w:val="24"/>
          <w:szCs w:val="24"/>
        </w:rPr>
      </w:pPr>
    </w:p>
    <w:p w:rsidR="00482F31" w:rsidRPr="00780DF3" w:rsidRDefault="00482F31" w:rsidP="00482F31">
      <w:pPr>
        <w:spacing w:after="0" w:line="240" w:lineRule="auto"/>
        <w:rPr>
          <w:rFonts w:asciiTheme="majorHAnsi" w:hAnsiTheme="majorHAnsi"/>
          <w:b/>
          <w:bCs/>
          <w:sz w:val="24"/>
          <w:szCs w:val="24"/>
        </w:rPr>
      </w:pPr>
      <w:r w:rsidRPr="00780DF3">
        <w:rPr>
          <w:rFonts w:asciiTheme="majorHAnsi" w:hAnsiTheme="majorHAnsi"/>
          <w:b/>
          <w:bCs/>
          <w:sz w:val="24"/>
          <w:szCs w:val="24"/>
        </w:rPr>
        <w:t xml:space="preserve">Course Description </w:t>
      </w:r>
    </w:p>
    <w:p w:rsidR="00780DF3" w:rsidRPr="00780DF3" w:rsidRDefault="00780DF3" w:rsidP="00780DF3">
      <w:pPr>
        <w:widowControl w:val="0"/>
        <w:autoSpaceDE w:val="0"/>
        <w:autoSpaceDN w:val="0"/>
        <w:adjustRightInd w:val="0"/>
        <w:spacing w:after="0" w:line="240" w:lineRule="auto"/>
        <w:rPr>
          <w:rFonts w:asciiTheme="majorHAnsi" w:eastAsiaTheme="minorEastAsia" w:hAnsiTheme="majorHAnsi" w:cs="Verdana"/>
          <w:color w:val="313131"/>
          <w:sz w:val="24"/>
          <w:szCs w:val="24"/>
        </w:rPr>
      </w:pPr>
      <w:r w:rsidRPr="00780DF3">
        <w:rPr>
          <w:rFonts w:asciiTheme="majorHAnsi" w:eastAsiaTheme="minorEastAsia" w:hAnsiTheme="majorHAnsi" w:cs="Verdana"/>
          <w:color w:val="313131"/>
          <w:sz w:val="24"/>
          <w:szCs w:val="24"/>
        </w:rPr>
        <w:t>In this 2</w:t>
      </w:r>
      <w:r w:rsidRPr="00780DF3">
        <w:rPr>
          <w:rFonts w:asciiTheme="majorHAnsi" w:eastAsiaTheme="minorEastAsia" w:hAnsiTheme="majorHAnsi" w:cs="Verdana"/>
          <w:color w:val="313131"/>
          <w:sz w:val="24"/>
          <w:szCs w:val="24"/>
          <w:vertAlign w:val="superscript"/>
        </w:rPr>
        <w:t>nd</w:t>
      </w:r>
      <w:r w:rsidRPr="00780DF3">
        <w:rPr>
          <w:rFonts w:asciiTheme="majorHAnsi" w:eastAsiaTheme="minorEastAsia" w:hAnsiTheme="majorHAnsi" w:cs="Verdana"/>
          <w:color w:val="313131"/>
          <w:sz w:val="24"/>
          <w:szCs w:val="24"/>
        </w:rPr>
        <w:t> Edition course, participants will learn about the thinking and learning skills that today’s students should be cultivating in order to become successful adults in the dynamic, rapidly changing, and “flattened” world into which they will graduate. Participants will be introduced to the idea of “habits of mind,” survey 16 distinct ways of seeing, understanding, and interacting with the world, and learn instructional strategies to help their students develop each of these thinking and learning “habits.” In Modules 3-6, participants also will be provided activity suggestions and materials that can be downloaded and used in the elementary or secondary classroom. </w:t>
      </w:r>
    </w:p>
    <w:p w:rsidR="00780DF3" w:rsidRPr="00780DF3" w:rsidRDefault="00780DF3" w:rsidP="00780DF3">
      <w:pPr>
        <w:widowControl w:val="0"/>
        <w:autoSpaceDE w:val="0"/>
        <w:autoSpaceDN w:val="0"/>
        <w:adjustRightInd w:val="0"/>
        <w:spacing w:after="0" w:line="240" w:lineRule="auto"/>
        <w:rPr>
          <w:rFonts w:asciiTheme="majorHAnsi" w:eastAsiaTheme="minorEastAsia" w:hAnsiTheme="majorHAnsi" w:cs="Verdana"/>
          <w:color w:val="313131"/>
          <w:sz w:val="24"/>
          <w:szCs w:val="24"/>
        </w:rPr>
      </w:pPr>
      <w:r w:rsidRPr="00780DF3">
        <w:rPr>
          <w:rFonts w:asciiTheme="majorHAnsi" w:eastAsiaTheme="minorEastAsia" w:hAnsiTheme="majorHAnsi" w:cs="Verdana"/>
          <w:b/>
          <w:bCs/>
          <w:color w:val="313131"/>
          <w:sz w:val="24"/>
          <w:szCs w:val="24"/>
        </w:rPr>
        <w:t>Course Objectives</w:t>
      </w:r>
    </w:p>
    <w:p w:rsidR="00780DF3" w:rsidRPr="00780DF3" w:rsidRDefault="00780DF3" w:rsidP="00780DF3">
      <w:pPr>
        <w:widowControl w:val="0"/>
        <w:autoSpaceDE w:val="0"/>
        <w:autoSpaceDN w:val="0"/>
        <w:adjustRightInd w:val="0"/>
        <w:spacing w:after="0" w:line="240" w:lineRule="auto"/>
        <w:ind w:left="1040" w:hanging="480"/>
        <w:rPr>
          <w:rFonts w:asciiTheme="majorHAnsi" w:eastAsiaTheme="minorEastAsia" w:hAnsiTheme="majorHAnsi" w:cs="Verdana"/>
          <w:color w:val="313131"/>
          <w:sz w:val="24"/>
          <w:szCs w:val="24"/>
        </w:rPr>
      </w:pPr>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Explore how the changing job market will make collaboration, critical thinking, and life-long learning crucial skills for tomorrow’s workers.</w:t>
      </w:r>
    </w:p>
    <w:p w:rsidR="00780DF3" w:rsidRPr="00780DF3" w:rsidRDefault="00780DF3" w:rsidP="00780DF3">
      <w:pPr>
        <w:widowControl w:val="0"/>
        <w:autoSpaceDE w:val="0"/>
        <w:autoSpaceDN w:val="0"/>
        <w:adjustRightInd w:val="0"/>
        <w:spacing w:after="0" w:line="240" w:lineRule="auto"/>
        <w:ind w:left="1040" w:hanging="480"/>
        <w:rPr>
          <w:rFonts w:asciiTheme="majorHAnsi" w:eastAsiaTheme="minorEastAsia" w:hAnsiTheme="majorHAnsi" w:cs="Verdana"/>
          <w:color w:val="313131"/>
          <w:sz w:val="24"/>
          <w:szCs w:val="24"/>
        </w:rPr>
      </w:pPr>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Embed an emphasis on collaboration and critical thinking within core curriculum instruction and assessment.</w:t>
      </w:r>
    </w:p>
    <w:p w:rsidR="00780DF3" w:rsidRPr="00780DF3" w:rsidRDefault="00780DF3" w:rsidP="00780DF3">
      <w:pPr>
        <w:widowControl w:val="0"/>
        <w:autoSpaceDE w:val="0"/>
        <w:autoSpaceDN w:val="0"/>
        <w:adjustRightInd w:val="0"/>
        <w:spacing w:after="0" w:line="240" w:lineRule="auto"/>
        <w:ind w:left="1040" w:hanging="480"/>
        <w:rPr>
          <w:rFonts w:asciiTheme="majorHAnsi" w:eastAsiaTheme="minorEastAsia" w:hAnsiTheme="majorHAnsi" w:cs="Verdana"/>
          <w:color w:val="313131"/>
          <w:sz w:val="24"/>
          <w:szCs w:val="24"/>
        </w:rPr>
      </w:pPr>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Define “habits of mind” and explain their importance in developing life-long learners.</w:t>
      </w:r>
    </w:p>
    <w:p w:rsidR="00780DF3" w:rsidRPr="00780DF3" w:rsidRDefault="00780DF3" w:rsidP="00780DF3">
      <w:pPr>
        <w:widowControl w:val="0"/>
        <w:autoSpaceDE w:val="0"/>
        <w:autoSpaceDN w:val="0"/>
        <w:adjustRightInd w:val="0"/>
        <w:spacing w:after="0" w:line="240" w:lineRule="auto"/>
        <w:ind w:left="1040" w:hanging="480"/>
        <w:rPr>
          <w:rFonts w:asciiTheme="majorHAnsi" w:eastAsiaTheme="minorEastAsia" w:hAnsiTheme="majorHAnsi" w:cs="Verdana"/>
          <w:color w:val="313131"/>
          <w:sz w:val="24"/>
          <w:szCs w:val="24"/>
        </w:rPr>
      </w:pPr>
      <w:proofErr w:type="gramStart"/>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Connect thinking and learning habits to personal moments of success and achievement.</w:t>
      </w:r>
      <w:proofErr w:type="gramEnd"/>
    </w:p>
    <w:p w:rsidR="00780DF3" w:rsidRPr="00780DF3" w:rsidRDefault="00780DF3" w:rsidP="00780DF3">
      <w:pPr>
        <w:widowControl w:val="0"/>
        <w:autoSpaceDE w:val="0"/>
        <w:autoSpaceDN w:val="0"/>
        <w:adjustRightInd w:val="0"/>
        <w:spacing w:after="0" w:line="240" w:lineRule="auto"/>
        <w:ind w:left="1040" w:hanging="480"/>
        <w:rPr>
          <w:rFonts w:asciiTheme="majorHAnsi" w:eastAsiaTheme="minorEastAsia" w:hAnsiTheme="majorHAnsi" w:cs="Verdana"/>
          <w:color w:val="313131"/>
          <w:sz w:val="24"/>
          <w:szCs w:val="24"/>
        </w:rPr>
      </w:pPr>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Explore the value of habits of mind relating to persistence and questioning.</w:t>
      </w:r>
    </w:p>
    <w:p w:rsidR="00780DF3" w:rsidRPr="00780DF3" w:rsidRDefault="00780DF3" w:rsidP="00780DF3">
      <w:pPr>
        <w:widowControl w:val="0"/>
        <w:autoSpaceDE w:val="0"/>
        <w:autoSpaceDN w:val="0"/>
        <w:adjustRightInd w:val="0"/>
        <w:spacing w:after="0" w:line="240" w:lineRule="auto"/>
        <w:ind w:left="1040" w:hanging="480"/>
        <w:rPr>
          <w:rFonts w:asciiTheme="majorHAnsi" w:eastAsiaTheme="minorEastAsia" w:hAnsiTheme="majorHAnsi" w:cs="Verdana"/>
          <w:color w:val="313131"/>
          <w:sz w:val="24"/>
          <w:szCs w:val="24"/>
        </w:rPr>
      </w:pPr>
      <w:proofErr w:type="gramStart"/>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Design instruction to encourage and strengthen persistence and questioning.</w:t>
      </w:r>
      <w:proofErr w:type="gramEnd"/>
    </w:p>
    <w:p w:rsidR="00780DF3" w:rsidRPr="00780DF3" w:rsidRDefault="00780DF3" w:rsidP="00780DF3">
      <w:pPr>
        <w:widowControl w:val="0"/>
        <w:autoSpaceDE w:val="0"/>
        <w:autoSpaceDN w:val="0"/>
        <w:adjustRightInd w:val="0"/>
        <w:spacing w:after="0" w:line="240" w:lineRule="auto"/>
        <w:ind w:left="1040" w:hanging="480"/>
        <w:rPr>
          <w:rFonts w:asciiTheme="majorHAnsi" w:eastAsiaTheme="minorEastAsia" w:hAnsiTheme="majorHAnsi" w:cs="Verdana"/>
          <w:color w:val="313131"/>
          <w:sz w:val="24"/>
          <w:szCs w:val="24"/>
        </w:rPr>
      </w:pPr>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Explore the value of habits of mind relating to independent and creative thinking.</w:t>
      </w:r>
    </w:p>
    <w:p w:rsidR="00780DF3" w:rsidRPr="00780DF3" w:rsidRDefault="00780DF3" w:rsidP="00780DF3">
      <w:pPr>
        <w:widowControl w:val="0"/>
        <w:autoSpaceDE w:val="0"/>
        <w:autoSpaceDN w:val="0"/>
        <w:adjustRightInd w:val="0"/>
        <w:spacing w:after="0" w:line="240" w:lineRule="auto"/>
        <w:ind w:left="1040" w:hanging="480"/>
        <w:rPr>
          <w:rFonts w:asciiTheme="majorHAnsi" w:eastAsiaTheme="minorEastAsia" w:hAnsiTheme="majorHAnsi" w:cs="Verdana"/>
          <w:color w:val="313131"/>
          <w:sz w:val="24"/>
          <w:szCs w:val="24"/>
        </w:rPr>
      </w:pPr>
      <w:proofErr w:type="gramStart"/>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Design instruction to encourage and strengthen independent and creating thinking.</w:t>
      </w:r>
      <w:proofErr w:type="gramEnd"/>
    </w:p>
    <w:p w:rsidR="00780DF3" w:rsidRPr="00780DF3" w:rsidRDefault="00780DF3" w:rsidP="00780DF3">
      <w:pPr>
        <w:widowControl w:val="0"/>
        <w:autoSpaceDE w:val="0"/>
        <w:autoSpaceDN w:val="0"/>
        <w:adjustRightInd w:val="0"/>
        <w:spacing w:after="0" w:line="240" w:lineRule="auto"/>
        <w:ind w:left="1040" w:hanging="480"/>
        <w:rPr>
          <w:rFonts w:asciiTheme="majorHAnsi" w:eastAsiaTheme="minorEastAsia" w:hAnsiTheme="majorHAnsi" w:cs="Verdana"/>
          <w:color w:val="313131"/>
          <w:sz w:val="24"/>
          <w:szCs w:val="24"/>
        </w:rPr>
      </w:pPr>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Explore the value of habits of mind relating to openness and curiosity.</w:t>
      </w:r>
    </w:p>
    <w:p w:rsidR="00780DF3" w:rsidRPr="00780DF3" w:rsidRDefault="00780DF3" w:rsidP="00780DF3">
      <w:pPr>
        <w:widowControl w:val="0"/>
        <w:autoSpaceDE w:val="0"/>
        <w:autoSpaceDN w:val="0"/>
        <w:adjustRightInd w:val="0"/>
        <w:spacing w:after="0" w:line="240" w:lineRule="auto"/>
        <w:ind w:left="1040" w:hanging="480"/>
        <w:rPr>
          <w:rFonts w:asciiTheme="majorHAnsi" w:eastAsiaTheme="minorEastAsia" w:hAnsiTheme="majorHAnsi" w:cs="Verdana"/>
          <w:color w:val="313131"/>
          <w:sz w:val="24"/>
          <w:szCs w:val="24"/>
        </w:rPr>
      </w:pPr>
      <w:proofErr w:type="gramStart"/>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Design instruction to encourage and strengthen openness and curiosity.</w:t>
      </w:r>
      <w:proofErr w:type="gramEnd"/>
    </w:p>
    <w:p w:rsidR="00780DF3" w:rsidRPr="00780DF3" w:rsidRDefault="00780DF3" w:rsidP="00780DF3">
      <w:pPr>
        <w:widowControl w:val="0"/>
        <w:autoSpaceDE w:val="0"/>
        <w:autoSpaceDN w:val="0"/>
        <w:adjustRightInd w:val="0"/>
        <w:spacing w:after="0" w:line="240" w:lineRule="auto"/>
        <w:ind w:left="1040" w:hanging="480"/>
        <w:rPr>
          <w:rFonts w:asciiTheme="majorHAnsi" w:eastAsiaTheme="minorEastAsia" w:hAnsiTheme="majorHAnsi" w:cs="Verdana"/>
          <w:color w:val="313131"/>
          <w:sz w:val="24"/>
          <w:szCs w:val="24"/>
        </w:rPr>
      </w:pPr>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Explore the value of habits of mind relating to listening and understanding.</w:t>
      </w:r>
    </w:p>
    <w:p w:rsidR="001C3B4C" w:rsidRPr="00780DF3" w:rsidRDefault="00780DF3" w:rsidP="00780DF3">
      <w:pPr>
        <w:spacing w:after="0" w:line="240" w:lineRule="auto"/>
        <w:ind w:firstLine="560"/>
        <w:rPr>
          <w:rFonts w:asciiTheme="majorHAnsi" w:hAnsiTheme="majorHAnsi"/>
          <w:sz w:val="24"/>
          <w:szCs w:val="24"/>
        </w:rPr>
      </w:pPr>
      <w:bookmarkStart w:id="0" w:name="_GoBack"/>
      <w:bookmarkEnd w:id="0"/>
      <w:proofErr w:type="gramStart"/>
      <w:r w:rsidRPr="00780DF3">
        <w:rPr>
          <w:rFonts w:asciiTheme="majorHAnsi" w:eastAsiaTheme="minorEastAsia" w:hAnsiTheme="majorHAnsi" w:cs="Verdana"/>
          <w:color w:val="313131"/>
          <w:sz w:val="24"/>
          <w:szCs w:val="24"/>
        </w:rPr>
        <w:t>•</w:t>
      </w:r>
      <w:r w:rsidRPr="00780DF3">
        <w:rPr>
          <w:rFonts w:asciiTheme="majorHAnsi" w:eastAsiaTheme="minorEastAsia" w:hAnsiTheme="majorHAnsi" w:cs="Times New Roman"/>
          <w:color w:val="313131"/>
          <w:sz w:val="24"/>
          <w:szCs w:val="24"/>
        </w:rPr>
        <w:t>      </w:t>
      </w:r>
      <w:r w:rsidRPr="00780DF3">
        <w:rPr>
          <w:rFonts w:asciiTheme="majorHAnsi" w:eastAsiaTheme="minorEastAsia" w:hAnsiTheme="majorHAnsi" w:cs="Verdana"/>
          <w:color w:val="313131"/>
          <w:sz w:val="24"/>
          <w:szCs w:val="24"/>
        </w:rPr>
        <w:t>Design instruction to encourage and strengthen listening and understanding.</w:t>
      </w:r>
      <w:proofErr w:type="gramEnd"/>
    </w:p>
    <w:sectPr w:rsidR="001C3B4C" w:rsidRPr="00780DF3" w:rsidSect="001C3B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67A54"/>
    <w:multiLevelType w:val="hybridMultilevel"/>
    <w:tmpl w:val="C04CD908"/>
    <w:lvl w:ilvl="0" w:tplc="7822282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31"/>
    <w:rsid w:val="001C3B4C"/>
    <w:rsid w:val="00201F07"/>
    <w:rsid w:val="0036535F"/>
    <w:rsid w:val="00482F31"/>
    <w:rsid w:val="004E7C28"/>
    <w:rsid w:val="00780DF3"/>
    <w:rsid w:val="007D53BF"/>
    <w:rsid w:val="00CF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31"/>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31"/>
    <w:pPr>
      <w:ind w:left="720"/>
      <w:contextualSpacing/>
    </w:pPr>
  </w:style>
  <w:style w:type="paragraph" w:customStyle="1" w:styleId="subhead2">
    <w:name w:val="subhead2"/>
    <w:basedOn w:val="Normal"/>
    <w:rsid w:val="00482F31"/>
    <w:pPr>
      <w:spacing w:before="100" w:beforeAutospacing="1" w:after="100" w:afterAutospacing="1" w:line="408" w:lineRule="auto"/>
    </w:pPr>
    <w:rPr>
      <w:rFonts w:ascii="Times New Roman" w:eastAsia="Times New Roman" w:hAnsi="Times New Roman" w:cs="Times New Roman"/>
      <w:b/>
      <w:bCs/>
      <w:cap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31"/>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31"/>
    <w:pPr>
      <w:ind w:left="720"/>
      <w:contextualSpacing/>
    </w:pPr>
  </w:style>
  <w:style w:type="paragraph" w:customStyle="1" w:styleId="subhead2">
    <w:name w:val="subhead2"/>
    <w:basedOn w:val="Normal"/>
    <w:rsid w:val="00482F31"/>
    <w:pPr>
      <w:spacing w:before="100" w:beforeAutospacing="1" w:after="100" w:afterAutospacing="1" w:line="408" w:lineRule="auto"/>
    </w:pPr>
    <w:rPr>
      <w:rFonts w:ascii="Times New Roman" w:eastAsia="Times New Roman" w:hAnsi="Times New Roman"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1652</Characters>
  <Application>Microsoft Macintosh Word</Application>
  <DocSecurity>0</DocSecurity>
  <Lines>13</Lines>
  <Paragraphs>3</Paragraphs>
  <ScaleCrop>false</ScaleCrop>
  <Company>College Credit Connection</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Schwartz</dc:creator>
  <cp:keywords/>
  <dc:description/>
  <cp:lastModifiedBy>Dana Schwartz</cp:lastModifiedBy>
  <cp:revision>2</cp:revision>
  <dcterms:created xsi:type="dcterms:W3CDTF">2011-10-24T02:47:00Z</dcterms:created>
  <dcterms:modified xsi:type="dcterms:W3CDTF">2011-10-24T02:47:00Z</dcterms:modified>
</cp:coreProperties>
</file>